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557bd508ce716200d80f16c5c15aebda99568"/>
    <w:p>
      <w:pPr>
        <w:pStyle w:val="Heading3"/>
      </w:pPr>
      <w:r>
        <w:t xml:space="preserve">ПФР преумножил пенсионные накопления россиян на 22,5 млрд. рублей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Общая сумма дохода, которую Пенсионный фонд по результатам 2014 года получил от инвестирования средств пенсионных накоплений, составила 22,5 млрд. рублей, что в пересчете составляет 7% годовых.</w:t>
      </w:r>
    </w:p>
    <w:p>
      <w:pPr>
        <w:pStyle w:val="BodyText"/>
      </w:pPr>
      <w:r>
        <w:t xml:space="preserve">Для сравнения: управляющие компании (УК), с которыми у ПФР заключены договоры доверительного управления, по итогам 2014 года показали среднюю доходность 2,5% (доходность государственной управляющей компании «Внешэкономбанк» по расширенному портфелю составила 2,68%; средняя доходность частных управляющих компаний составила 0,94%). Ожидается, что доходность от временного размещения страховых взносов, полученная ПФР, будет выше средней доходности НПФ.</w:t>
      </w:r>
    </w:p>
    <w:p>
      <w:pPr>
        <w:pStyle w:val="BodyText"/>
      </w:pPr>
      <w:r>
        <w:t xml:space="preserve">Напомним, по закону Пенсионный фонд имеет право инвестировать страховые взносы (временно размещать) на формирование пенсионных накоплений в системе ОПС до момента их передачи в управляющие компании и негосударственные пенсионные фонды в разрешенные законодательством активы.</w:t>
      </w:r>
    </w:p>
    <w:p>
      <w:pPr>
        <w:pStyle w:val="BodyText"/>
      </w:pPr>
      <w:r>
        <w:t xml:space="preserve">Поскольку в 2014-2015 гг. действует мораторий на формирование пенсионных накоплений, в 2014 году Пенсионный фонд инвестировал пенсионные накопления, которые не были переданы в УК и НПФ, в размере 323,2 млрд. рублей. Эта сумма включает в себя страховые взносы на накопительную пенсию за вторую половину 2013 года, взносы граждан в рамках Программы софинансирования за вторую половину 2013 и 2014 год и средства государственного софинансирования за 2014 год, а также средства материнского капитала, которые владелицы сертификата в 2014 году направили на формирование своей накопительной пенсии.</w:t>
      </w:r>
    </w:p>
    <w:p>
      <w:pPr>
        <w:pStyle w:val="BodyText"/>
      </w:pPr>
      <w:r>
        <w:t xml:space="preserve">Пенсионный фонд осуществлял инвестирование в разрешенные законодательством инструменты: 141,2 млрд. рублей в государственные ценные бумаги (более 98% в государственные сберегательные облигации с постоянной процентной ставкой купонного дохода выпусков 35010, 35011 и 35012) и 182 млрд. рублей в банковские депозиты.</w:t>
      </w:r>
    </w:p>
    <w:p>
      <w:pPr>
        <w:pStyle w:val="BodyText"/>
      </w:pPr>
      <w:r>
        <w:t xml:space="preserve">Размещение средств на депозитах осуществлялось путем проведения депозитных аукционов, что позволило ПФР максимально эффективно и оперативно размещать средства на лучших рыночных условиях в высоконадежные банки. За 2014 год было проведено 25 аукционов. Размещение на депозитах осуществлялось на сроки от 17 до 146 дней.</w:t>
      </w:r>
    </w:p>
    <w:p>
      <w:pPr>
        <w:pStyle w:val="BodyText"/>
      </w:pPr>
      <w:r>
        <w:t xml:space="preserve">Доход от размещения средств на депозитах за 2014 год составил 13,9 млрд. рублей, что в пересчете составляет 7,6% годовых. Доход от инвестирования средств в ценные бумаги за 2014 год составил 8,6 млрд. рублей, что в пересчете составляет 6,1% годовых.</w:t>
      </w:r>
    </w:p>
    <w:p>
      <w:pPr>
        <w:pStyle w:val="BodyText"/>
      </w:pPr>
      <w:r>
        <w:t xml:space="preserve">ПФР уже начал передачу средств пенсионных накоплений в управляющие компании. Она завершится до конца марта. В НПФ, которые до 1 марта 2015 года вошли в систему гарантирования сохранности пенсионных накоплений, согласно закону средства будут переданы до 31 мая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http://basman.mos.ru/presscenter/news/detail/1698019.html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698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698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2023-08-23T09:33:26Z</dcterms:created>
  <dcterms:modified xsi:type="dcterms:W3CDTF">2023-08-23T09:33:26Z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