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6ac5e522bc99586a799ddcabd7c6a91ff7b769"/>
    <w:p>
      <w:pPr>
        <w:pStyle w:val="Heading3"/>
      </w:pPr>
      <w:r>
        <w:t xml:space="preserve">Лучших работодателей Москвы и Московской области наградит Пенсионный фонд</w:t>
      </w:r>
    </w:p>
    <w:p>
      <w:pPr>
        <w:pStyle w:val="FirstParagraph"/>
      </w:pPr>
      <w:r>
        <w:t xml:space="preserve">25.05.2015</w:t>
      </w:r>
    </w:p>
    <w:p>
      <w:pPr>
        <w:pStyle w:val="BodyText"/>
      </w:pPr>
      <w:r>
        <w:t xml:space="preserve">27 и 28 мая в Москве состоятся торжественные церемонии награждения лучших работодателей столицы и Московской области</w:t>
      </w:r>
    </w:p>
    <w:p>
      <w:pPr>
        <w:pStyle w:val="BodyText"/>
      </w:pPr>
      <w:r>
        <w:t xml:space="preserve">Пенсионный фонд Российской Федерации подвел итоги пятого ежегодного Всероссийского конкурса «Лучший страхователь года по обязательному пенсионному страхованию» в 2014 году. Участниками конкурса стали более 7 миллионов работодателей из всех субъектов Российской Федерации, уплачивающих страховые взносы на обязательное пенсионное и обязательное медицинское страхование. По г. Москве и Московской области во Всероссийском конкурсе приняли участие более 400 тысяч работодателей, 32 из них названы лучшими на всю Россию.</w:t>
      </w:r>
    </w:p>
    <w:p>
      <w:pPr>
        <w:pStyle w:val="BodyText"/>
      </w:pPr>
      <w:r>
        <w:t xml:space="preserve">Работодатели – ключевые участники пенсионной системы страны. Страховые взносы на обязательное пенсионное и обязательное медицинское страхование, которые они уплачивают за каждого своего застрахованного сотрудника, – это не только будущие пенсии и медицинское обслуживание данных сотрудников, но и стабильная выплата пенсий нынешним пенсионерам. Ведь основной принцип формирования российской пенсионной системы – солидарный.</w:t>
      </w:r>
    </w:p>
    <w:p>
      <w:pPr>
        <w:pStyle w:val="BodyText"/>
      </w:pPr>
      <w:r>
        <w:t xml:space="preserve">Лучшие работодатели определялись конкурсной комиссией по ряду критериев.</w:t>
      </w:r>
    </w:p>
    <w:p>
      <w:pPr>
        <w:pStyle w:val="BodyText"/>
      </w:pPr>
      <w:r>
        <w:t xml:space="preserve">- Работодатель своевременно и в полном объеме перечисляет страховые взносы на страховую и накопительную пенсии своих сотрудников, обязательное медицинское страхование, а также в установленные сроки и без ошибок представляет все документы, необходимые для ведения персонифицированного учета, назначения и перерасчета пенсий, конвертации пенсионных прав.</w:t>
      </w:r>
    </w:p>
    <w:p>
      <w:pPr>
        <w:pStyle w:val="BodyText"/>
      </w:pPr>
      <w:r>
        <w:t xml:space="preserve">- Работодатель своевременно при приеме на работу производит регистрацию в ПФР лиц, не имеющих страхового свидетельства. Регистрацией в системе обязательного пенсионного страхования охвачено 100% сотрудников.</w:t>
      </w:r>
    </w:p>
    <w:p>
      <w:pPr>
        <w:pStyle w:val="BodyText"/>
      </w:pPr>
      <w:r>
        <w:t xml:space="preserve">- На работодателя в течение календарного года не зафиксировано жалоб о нарушениях законодательства об обязательном пенсионном и медицинском страховании. Средняя заработная плата сотрудников на предприятии или организации - выше суммы прожиточного минимума, утвержденного органами государственной власти субъекта РФ.</w:t>
      </w:r>
    </w:p>
    <w:p>
      <w:pPr>
        <w:pStyle w:val="BodyText"/>
      </w:pPr>
      <w:r>
        <w:t xml:space="preserve">Дополнительно конкурсная комиссия может учитывать участие работодателя в софинансировании пенсионных накоплений сотрудников и представление в ПФР документов, необходимых для ведения персонального учета, назначения и перерасчета пенсий, в электронном виде.</w:t>
      </w:r>
    </w:p>
    <w:p>
      <w:pPr>
        <w:pStyle w:val="BodyText"/>
      </w:pPr>
      <w:r>
        <w:t xml:space="preserve">Выбор лучших работодателей конкурсными комиссиями начинался на уровне территориальных органов Отделений ПФР субъектов Российской Федерации, продолжался – на уровне Отделений. Итоги Всероссийского конкурса были подведены на федеральном уровне – в Пенсионном фонде России.</w:t>
      </w:r>
    </w:p>
    <w:p>
      <w:pPr>
        <w:pStyle w:val="BodyText"/>
      </w:pPr>
      <w:r>
        <w:t xml:space="preserve">Торжественные церемонии награждения победителей пятого ежегодного Всероссийского конкурса «Лучший страхователь года по обязательному пенсионному страхованию» в 2014 году по г. Москве и Московской области состоятся:</w:t>
      </w:r>
    </w:p>
    <w:p>
      <w:pPr>
        <w:pStyle w:val="BodyText"/>
      </w:pPr>
      <w:r>
        <w:t xml:space="preserve">27 мая – для работодателей г. Москвы</w:t>
      </w:r>
    </w:p>
    <w:p>
      <w:pPr>
        <w:pStyle w:val="BodyText"/>
      </w:pPr>
      <w:r>
        <w:t xml:space="preserve">28 мая – для работодателей Московской области.</w:t>
      </w:r>
    </w:p>
    <w:p>
      <w:pPr>
        <w:pStyle w:val="BodyText"/>
      </w:pPr>
      <w:r>
        <w:rPr>
          <w:bCs/>
          <w:b/>
        </w:rPr>
        <w:t xml:space="preserve">Победители пятого ежегодного Всероссийского конкурса «Лучший страхователь года по обязательному пенсионному страхованию» в 2014 году по г. Москве</w:t>
      </w:r>
    </w:p>
    <w:p>
      <w:pPr>
        <w:pStyle w:val="BodyText"/>
      </w:pPr>
      <w:r>
        <w:rPr>
          <w:bCs/>
          <w:b/>
        </w:rPr>
        <w:t xml:space="preserve">в категории «Численность сотрудников у работодателя свыше 500 человек»</w:t>
      </w:r>
    </w:p>
    <w:p>
      <w:pPr>
        <w:pStyle w:val="BodyText"/>
      </w:pPr>
      <w:r>
        <w:t xml:space="preserve">ООО «Главстройгрупп», генеральный директор Тихонов Виктор Владимирович</w:t>
      </w:r>
    </w:p>
    <w:p>
      <w:pPr>
        <w:pStyle w:val="BodyText"/>
      </w:pPr>
      <w:r>
        <w:t xml:space="preserve">ООО «Научно-производственная фирма «Материа медика холдинг», генеральный директор Эпштейн Олег Ильич</w:t>
      </w:r>
    </w:p>
    <w:p>
      <w:pPr>
        <w:pStyle w:val="BodyText"/>
      </w:pPr>
      <w:r>
        <w:t xml:space="preserve">ГБОУ «Центр спорта и образования «Самбо-70» Москомспорта, генеральный директор Лайшев Ренат Алексеевич</w:t>
      </w:r>
    </w:p>
    <w:p>
      <w:pPr>
        <w:pStyle w:val="BodyText"/>
      </w:pPr>
      <w:r>
        <w:t xml:space="preserve">14-й Автобусный парк ГУП «МОСГОРТРАНС», директор Исмаилов Рафик Исмаил-Оглы</w:t>
      </w:r>
    </w:p>
    <w:p>
      <w:pPr>
        <w:pStyle w:val="BodyText"/>
      </w:pPr>
      <w:r>
        <w:rPr>
          <w:bCs/>
          <w:b/>
        </w:rPr>
        <w:t xml:space="preserve">в категории «Численность сотрудников у работодателя от 100 до 500 человек»</w:t>
      </w:r>
    </w:p>
    <w:p>
      <w:pPr>
        <w:pStyle w:val="BodyText"/>
      </w:pPr>
      <w:r>
        <w:t xml:space="preserve">ООО « Агролига», генеральный директор Васильев Андрей Викторович</w:t>
      </w:r>
    </w:p>
    <w:p>
      <w:pPr>
        <w:pStyle w:val="BodyText"/>
      </w:pPr>
      <w:r>
        <w:t xml:space="preserve">ООО «Евраз - логистик», генеральный директор Курпаев Самавдин Баудинович</w:t>
      </w:r>
    </w:p>
    <w:p>
      <w:pPr>
        <w:pStyle w:val="BodyText"/>
      </w:pPr>
      <w:r>
        <w:t xml:space="preserve">ОАО «Московский центральный трест инженерно-строительных изысканий», генеральный директор Пасканный Владимир Иванович</w:t>
      </w:r>
    </w:p>
    <w:p>
      <w:pPr>
        <w:pStyle w:val="BodyText"/>
      </w:pPr>
      <w:r>
        <w:t xml:space="preserve">ООО «Микролит», генеральный директор Демьянович Михаил Юрьевич</w:t>
      </w:r>
    </w:p>
    <w:p>
      <w:pPr>
        <w:pStyle w:val="BodyText"/>
      </w:pPr>
      <w:r>
        <w:rPr>
          <w:bCs/>
          <w:b/>
        </w:rPr>
        <w:t xml:space="preserve">в категории «Численность сотрудников у работодателя до 100 человек»</w:t>
      </w:r>
    </w:p>
    <w:p>
      <w:pPr>
        <w:pStyle w:val="BodyText"/>
      </w:pPr>
      <w:r>
        <w:t xml:space="preserve">ООО «Норма», генеральный директор Соколова Наталья Владимировна</w:t>
      </w:r>
    </w:p>
    <w:p>
      <w:pPr>
        <w:pStyle w:val="BodyText"/>
      </w:pPr>
      <w:r>
        <w:t xml:space="preserve">ООО «Дентоклиник+», генеральный директор Измайлов Муслим Микаилович</w:t>
      </w:r>
    </w:p>
    <w:p>
      <w:pPr>
        <w:pStyle w:val="BodyText"/>
      </w:pPr>
      <w:r>
        <w:t xml:space="preserve">ОАО «ДМНР-Коксохиммонтаж», генеральный директор Бакланов Владимир Николаевич</w:t>
      </w:r>
    </w:p>
    <w:p>
      <w:pPr>
        <w:pStyle w:val="BodyText"/>
      </w:pPr>
      <w:r>
        <w:t xml:space="preserve">ООО «Инстрой-сервис», генеральный директор Молдавский Геннадий Ефимович</w:t>
      </w:r>
    </w:p>
    <w:p>
      <w:pPr>
        <w:pStyle w:val="BodyText"/>
      </w:pPr>
      <w:r>
        <w:rPr>
          <w:bCs/>
          <w:b/>
        </w:rPr>
        <w:t xml:space="preserve">в категории «Индивидуальные предприниматели, имеющие наемных работников»</w:t>
      </w:r>
    </w:p>
    <w:p>
      <w:pPr>
        <w:pStyle w:val="BodyText"/>
      </w:pPr>
      <w:r>
        <w:t xml:space="preserve">ИП Милованова Лариса Васильевна</w:t>
      </w:r>
    </w:p>
    <w:p>
      <w:pPr>
        <w:pStyle w:val="BodyText"/>
      </w:pPr>
      <w:r>
        <w:t xml:space="preserve">ИП Шеин Дмитрий Владимирович</w:t>
      </w:r>
    </w:p>
    <w:p>
      <w:pPr>
        <w:pStyle w:val="BodyText"/>
      </w:pPr>
      <w:r>
        <w:t xml:space="preserve">ИП Шарыгина Ирина Геннадьевна</w:t>
      </w:r>
    </w:p>
    <w:p>
      <w:pPr>
        <w:pStyle w:val="BodyText"/>
      </w:pPr>
      <w:r>
        <w:t xml:space="preserve">ИП Федорова Анна Вячеславовна</w:t>
      </w:r>
    </w:p>
    <w:p>
      <w:pPr>
        <w:pStyle w:val="BodyText"/>
      </w:pPr>
      <w:r>
        <w:rPr>
          <w:iCs/>
          <w:i/>
        </w:rPr>
        <w:t xml:space="preserve">___________________</w:t>
      </w:r>
    </w:p>
    <w:p>
      <w:pPr>
        <w:pStyle w:val="BodyText"/>
      </w:pPr>
      <w:r>
        <w:rPr>
          <w:iCs/>
          <w:i/>
        </w:rPr>
        <w:t xml:space="preserve">ГУ - Главное управление ПФР № 10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http://basman.mos.ru/presscenter/news/detail/1886669.html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8866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8866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2024-01-17T04:16:08Z</dcterms:created>
  <dcterms:modified xsi:type="dcterms:W3CDTF">2024-01-17T04:16:08Z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