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5d5063794456c6d829954b09dcf68b1bf780d"/>
    <w:p>
      <w:pPr>
        <w:pStyle w:val="Heading3"/>
      </w:pPr>
      <w:r>
        <w:t xml:space="preserve">Ярмарка выходного дня начнет работать в апреле</w:t>
      </w:r>
    </w:p>
    <w:p>
      <w:pPr>
        <w:pStyle w:val="FirstParagraph"/>
      </w:pPr>
      <w:r>
        <w:t xml:space="preserve">16.03.2016</w:t>
      </w:r>
    </w:p>
    <w:p>
      <w:pPr>
        <w:pStyle w:val="BodyText"/>
      </w:pPr>
      <w:r>
        <w:t xml:space="preserve">С 01.04.2016 г. до 31.12.2016 г. по адресу: Старокирочный пер., вл. 1/47 будет размещаться ярмарка выходного дня на 60 торговых мест, с режимом работы с 08.00 до 20.00 часов (пятница, суббота, воскресенье).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http://basman.mos.ru/presscenter/news/detail/2602592.html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2602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2602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2025-03-01T15:26:09Z</dcterms:created>
  <dcterms:modified xsi:type="dcterms:W3CDTF">2025-03-01T15:26:09Z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