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47f4831eab5aede7162f196306cbb2f470959d"/>
    <w:p>
      <w:pPr>
        <w:pStyle w:val="Heading3"/>
      </w:pPr>
      <w:r>
        <w:t xml:space="preserve">Четыре учреждения примут детей на летний отдых в Басманном района</w:t>
      </w:r>
    </w:p>
    <w:p>
      <w:pPr>
        <w:pStyle w:val="FirstParagraph"/>
      </w:pPr>
      <w:r>
        <w:t xml:space="preserve">19.05.2016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301/1-oblozhka_feoktisto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Басманном районе будут работать 4 организации, где дети смогут провести свой летний отдых. Об этом сообщает </w:t>
      </w:r>
      <w:hyperlink r:id="rId23">
        <w:r>
          <w:rPr>
            <w:rStyle w:val="Hyperlink"/>
          </w:rPr>
          <w:t xml:space="preserve">информационное Агентство городских новостей «Москва»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«Мосгортур» и Московский Департамент культуры разработали карту детского отдыха, на которой к сегодняшнему дню отмечено более двух тысяч организаций. Она была разработана для составления единой базы места развития детей на летний сезон в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 </w:t>
      </w:r>
      <w:r>
        <w:t xml:space="preserve">Среди организаций более 1 тысячи учреждений департамента культуры, учреждения районных управ, а также учреждения департамента образования, департамента природопользования и охраны окружающей среды, автономных некоммерческих организаций, центров отдыха и досуга в парках, - пояснили в пресс-службе «Мосгортура».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в пре</w:t>
      </w:r>
      <w:r>
        <w:t xml:space="preserve">ддверии школьных каникул сайт, на котором размещена карта, посещают более тысячи человек в сутки.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http://basman.mos.ru/presscenter/news/detail/2974282.html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2974282.html" TargetMode="External" /><Relationship Type="http://schemas.openxmlformats.org/officeDocument/2006/relationships/hyperlink" Id="rId23" Target="mskagency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2974282.html" TargetMode="External" /><Relationship Type="http://schemas.openxmlformats.org/officeDocument/2006/relationships/hyperlink" Id="rId23" Target="mskagency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2024-12-24T06:08:18Z</dcterms:created>
  <dcterms:modified xsi:type="dcterms:W3CDTF">2024-12-24T06:08:18Z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