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aaaf1b42d1f1c3a54aee924126391051ad35e"/>
    <w:p>
      <w:pPr>
        <w:pStyle w:val="Heading3"/>
      </w:pPr>
      <w:r>
        <w:t xml:space="preserve">Доходы от платных парковок позволили улучшить дворы района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0d4/file6qncwi443xu64jcec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Средства, собранные с платных парковок столицы, поступают на затраты по благоустройству дворов и улиц районов: здесь меняют асфальт, организовывают детские площадки и зоны для отдыха, проводят комплексное озеленение.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- Доходы с платных парковок поступают на благоустройство районов Центрального административного округа. На территории Басманного района особенно можно дворы на Мясницкой улицы. Двор обустроили детскими площадками и сделали многое для комфортных прогулок по нему местных жителей, - сообщает муниципальный депутат Басманного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Напомним. что объём средств стимулирования управ районов в 2016 году составит 6,2 миллиарда рублей. Два миллиарда 957 миллионов рублей — доходы от платных парковок. Это в два раза больше, чем в 2015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http://basman.mos.ru/presscenter/news/detail/3945306.html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3945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3945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2023-08-23T08:55:28Z</dcterms:created>
  <dcterms:modified xsi:type="dcterms:W3CDTF">2023-08-23T08:55:28Z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