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6bfeefd9c62d767560b5e253ee125d17051c6e"/>
    <w:p>
      <w:pPr>
        <w:pStyle w:val="Heading3"/>
      </w:pPr>
      <w:r>
        <w:t xml:space="preserve">Зону платных парковок расширили в Басманном районе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drawing>
          <wp:inline>
            <wp:extent cx="5334000" cy="3513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d8/file6sdfkblp6pt1gfus2a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3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По приказу заместителя мэра Москвы, руководителя Департамента транспорта и развития дорожно-транспортной инфраструктуры Максима Ликсутова были внесены изменения в организацию дополнительной территориальной зоны платных городских парковок.</w:t>
      </w:r>
      <w:r>
        <w:br/>
      </w:r>
      <w:r>
        <w:br/>
      </w:r>
      <w:r>
        <w:t xml:space="preserve">Дополнительные платные парковки появятся на территории Басманного района.</w:t>
      </w:r>
      <w:r>
        <w:br/>
      </w:r>
      <w:r>
        <w:br/>
      </w:r>
      <w:r>
        <w:t xml:space="preserve">В Басманном районе платные парковки расположат по следующим адресам: Центросоюзный переулок, 35, улица Фридриха Энгельса, 34, улица Новая дорога, 33, Рубцовская набережная, 32 и другие.</w:t>
      </w:r>
      <w:r>
        <w:br/>
      </w:r>
      <w:r>
        <w:br/>
      </w:r>
      <w:r>
        <w:t xml:space="preserve">Напомним, что постановление о платных парковках в столице было утверждено в 2013 году.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75756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99/listovka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7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21/listovka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http://basman.mos.ru/presscenter/news/detail/4502080.html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asman.mos.ru" TargetMode="External" /><Relationship Type="http://schemas.openxmlformats.org/officeDocument/2006/relationships/hyperlink" Id="rId29" Target="http://basman.mos.ru/presscenter/news/detail/4502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asman.mos.ru" TargetMode="External" /><Relationship Type="http://schemas.openxmlformats.org/officeDocument/2006/relationships/hyperlink" Id="rId29" Target="http://basman.mos.ru/presscenter/news/detail/4502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2024-07-17T03:32:03Z</dcterms:created>
  <dcterms:modified xsi:type="dcterms:W3CDTF">2024-07-17T03:32:03Z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