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cd62495c2fafe176e26599da952c943fe0e96"/>
    <w:p>
      <w:pPr>
        <w:pStyle w:val="Heading3"/>
      </w:pPr>
      <w:r>
        <w:t xml:space="preserve">13.07.2020 начинаются работы по благоустройству территории стадиона «Металлург»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t xml:space="preserve">С 13.07.2020 АО «Мосинжпроект» начинает строительно - монтажные работы по благоустройству территории стадиона «Металлург» силами привлеченных подрядных организаций по объекту Северо-Восточного участка Третьего пересадочного контура (ТПК) ст. «Нижняя Масловка» - ст. «Авиамоторная».</w:t>
      </w:r>
    </w:p>
    <w:p>
      <w:pPr>
        <w:pStyle w:val="BodyText"/>
      </w:pPr>
      <w:r>
        <w:t xml:space="preserve">В связи с производством работ по благоустройству территории, въезд на стадион «Металлург» со стороны ул. Гольяновская будет перекрыт.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http://basman.mos.ru/presscenter/news/detail/9016529.html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016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016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2023-09-07T18:24:35Z</dcterms:created>
  <dcterms:modified xsi:type="dcterms:W3CDTF">2023-09-07T18:24:35Z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