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9588e1a8b28dfaec5b5982a95b94956f06e1ac"/>
    <w:p>
      <w:pPr>
        <w:pStyle w:val="Heading3"/>
      </w:pPr>
      <w:r>
        <w:t xml:space="preserve">Проекты протоколов публичных слушаний. Кварталы: 296, 1070, 1105, 1122, 1128,1129</w:t>
      </w:r>
    </w:p>
    <w:p>
      <w:pPr>
        <w:pStyle w:val="FirstParagraph"/>
      </w:pPr>
      <w:r>
        <w:t xml:space="preserve">23.12.2013</w:t>
      </w:r>
    </w:p>
    <w:p>
      <w:pPr>
        <w:pStyle w:val="BodyText"/>
      </w:pPr>
      <w:r>
        <w:t xml:space="preserve">Проекты протоколов публичных слушаний по проектам градостроительного межевания территории кварталов Басманного района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http://basman.mos.ru/presscenter/news/detail/916106.html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9161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9161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2024-07-30T00:59:30Z</dcterms:created>
  <dcterms:modified xsi:type="dcterms:W3CDTF">2024-07-30T00:59:30Z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