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8b938319895eabcda6bd730173b11752c1d9"/>
    <w:p>
      <w:pPr>
        <w:pStyle w:val="Heading3"/>
      </w:pPr>
      <w:r>
        <w:t xml:space="preserve">Проекты протоколов публичных слушаний. Кварталы: 1031, 1067, 1069, 307</w:t>
      </w:r>
    </w:p>
    <w:p>
      <w:pPr>
        <w:pStyle w:val="FirstParagraph"/>
      </w:pPr>
      <w:r>
        <w:t xml:space="preserve">10.01.2014</w:t>
      </w:r>
    </w:p>
    <w:p>
      <w:pPr>
        <w:pStyle w:val="BodyText"/>
      </w:pPr>
      <w:r>
        <w:t xml:space="preserve">Проекты протоколов публичных слушаний по проектам градостроительного межевания территории кварталов Басманного района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http://basman.mos.ru/presscenter/news/detail/922887.html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22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22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2023-10-23T10:26:08Z</dcterms:created>
  <dcterms:modified xsi:type="dcterms:W3CDTF">2023-10-23T10:26:08Z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