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af7f952a4f323dff89b119c2ffe3a6ed83498"/>
    <w:p>
      <w:pPr>
        <w:pStyle w:val="Heading3"/>
      </w:pPr>
      <w:r>
        <w:t xml:space="preserve">В январе на московском рынке «вторички» зафиксирована наименее выраженная динамика в годовом выражении</w:t>
      </w:r>
    </w:p>
    <w:p>
      <w:pPr>
        <w:pStyle w:val="FirstParagraph"/>
      </w:pPr>
      <w:r>
        <w:t xml:space="preserve">24.02.2021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Управлением Росреестра по Москве в январе 2021 года зарегистрировано 7 606 переходов прав на основании договоров купли продажи (мены) жилья - на 4,5% меньше, чем годом ранее (7 969). В сравнении с декабрем прошлого года (20 128) показатель снизился более чем в два с половиной раза (-62%).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Последние пять лет в январе статистика на вторичном рынке недвижимости не отражает отчетливой тенденции – количество зарегистрированных Росреестром договоров по отношению к аналогичному месяцу прошлого года то резко увеличивалось, то весьма заметно снижалось. В текущем году январь продемонстрировал самую устойчивую за последние годы позицию – объем оформленных в нем сделок лишь на 363 перехода прав меньше, чем годом ранее. В процентном выражении это менее 5%, – комментирует Игорь Майданов, руководитель Управления Росреестра по Москве. – При этом по отношению к рекордному за все годы декабрю прошлого года, когда число регистраций со «вторичкой» превысило 20 тысяч договоров, наоборот, отмечен наиболее выраженный за три года спад – минус 62%, тогда как средний показатель января к декабрю составляет 50%».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http://basman.mos.ru/presscenter/news/detail/9736861.html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97368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97368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2023-08-23T09:37:02Z</dcterms:created>
  <dcterms:modified xsi:type="dcterms:W3CDTF">2023-08-23T09:37:02Z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