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c93e505c32629fdfe6cb44a4dc75a2dd4fd3"/>
    <w:p>
      <w:pPr>
        <w:pStyle w:val="Heading3"/>
      </w:pPr>
      <w:r>
        <w:t xml:space="preserve">Около 1,5 миллиона квадратных метров жилья построят в Москве по программе реновации в 2021 году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</w:p>
    <w:p>
      <w:pPr>
        <w:pStyle w:val="BodyText"/>
      </w:pPr>
      <w:r>
        <w:t xml:space="preserve">В Москве планируют построить около 1,5 миллиона квадратных метров жилья по масштабной программе реновации в 2021 году.</w:t>
      </w:r>
    </w:p>
    <w:p>
      <w:pPr>
        <w:pStyle w:val="BodyText"/>
      </w:pPr>
      <w:r>
        <w:t xml:space="preserve">В новых кварталах создают все необходимые и комфортные условия для проживания. Там будут детские площадки, спортивные зоны, велосипедные дорожки и многое другое.</w:t>
      </w:r>
    </w:p>
    <w:p>
      <w:pPr>
        <w:pStyle w:val="BodyText"/>
      </w:pPr>
      <w:r>
        <w:t xml:space="preserve">Заместитель мэра Москвы в Правительстве Москвы по вопросам градостроительной политики и строительства Андрей Бочкарев рассказал, что на сегодняшний день у нас подобрано 500 стартовых площадок площадью 7,9 миллиона квадратных метров во всех административных округах Москвы, в этот список в том числе входят 133 территории мощностью более двух миллионов квадратных метров, сформированные на месте расселяемых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http://basman.mos.ru/presscenter/news/detail/9961398.html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961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961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2023-08-23T09:45:16Z</dcterms:created>
  <dcterms:modified xsi:type="dcterms:W3CDTF">2023-08-23T09:45:16Z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