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608290672dc10921eba7893dfb22916a0ebdf"/>
    <w:p>
      <w:pPr>
        <w:pStyle w:val="Heading3"/>
      </w:pPr>
      <w:r>
        <w:t xml:space="preserve">Прокурор Центрального административного округа г. Москвы информирует: Принят закон о сохранении этнокультурного и языкового многообразия в Российской Федерации</w:t>
      </w:r>
    </w:p>
    <w:p>
      <w:pPr>
        <w:pStyle w:val="FirstParagraph"/>
      </w:pPr>
      <w:r>
        <w:t xml:space="preserve">08.12.2022</w:t>
      </w:r>
    </w:p>
    <w:p>
      <w:pPr>
        <w:pStyle w:val="BodyText"/>
      </w:pPr>
      <w:r>
        <w:rPr>
          <w:bCs/>
          <w:b/>
        </w:rPr>
        <w:t xml:space="preserve">С 20 октября 2022 года вступил в силу Федеральный закон № 402-ФЗ «О нематериальном этнокультурном достоянии Российской Федерации».</w:t>
      </w:r>
      <w:r>
        <w:rPr>
          <w:bCs/>
          <w:b/>
        </w:rPr>
        <w:t xml:space="preserve"> </w:t>
      </w:r>
    </w:p>
    <w:p>
      <w:pPr>
        <w:pStyle w:val="BodyText"/>
      </w:pPr>
      <w:r>
        <w:t xml:space="preserve">В законе дано понятие нематериальному этнокультурному достоянию России, его носителям и хранителям, этнической общности, определены полномочия органов федеральной, региональной власти и местного самоуправления, права носителей нематериального этнокультурного достояния, физических и юридических лиц.</w:t>
      </w:r>
    </w:p>
    <w:p>
      <w:pPr>
        <w:pStyle w:val="BodyText"/>
      </w:pPr>
      <w:r>
        <w:t xml:space="preserve">К объектам нематериального этнокультурного достояния отнесены: устное творчество и традиции, формы их выражения на русском языке, языках и диалектах народов России, традиционного исполнительского искусства (словесного, вокального, инструментального, хореографического), обряды, празднества и другие виды народной культуры.</w:t>
      </w:r>
    </w:p>
    <w:p>
      <w:pPr>
        <w:pStyle w:val="BodyText"/>
      </w:pPr>
      <w:r>
        <w:t xml:space="preserve">Объекты нематериального этнокультурного достояния подразделяются на категории федерального, регионального и местного (муниципального) значения.</w:t>
      </w:r>
    </w:p>
    <w:p>
      <w:pPr>
        <w:pStyle w:val="BodyText"/>
      </w:pPr>
      <w:r>
        <w:t xml:space="preserve">Основным источником информации об объектах нематериального этнокультурного достояния федерального значения является федеральный реестр, который формируется в государственной информационной системе.</w:t>
      </w:r>
    </w:p>
    <w:p>
      <w:pPr>
        <w:pStyle w:val="BodyText"/>
      </w:pPr>
      <w:r>
        <w:t xml:space="preserve">Основанием для включения объекта нематериального этнокультурного достояния в федеральный реестр является предложение регионального уполномоченного органа, сформированное на основании заявки хранителя нематериального этнокультурного достояния, носителя нематериального этнокультурного достояния или органа публичной власти.</w:t>
      </w:r>
    </w:p>
    <w:p>
      <w:pPr>
        <w:pStyle w:val="BodyText"/>
      </w:pPr>
      <w:r>
        <w:t xml:space="preserve">Органы государственной власти субъекта Российской Федерации вправе формировать и вести региональный реестр, в который включаются объекты нематериального этнокультурного достояния регионального и местного (муниципального) значения.</w:t>
      </w:r>
    </w:p>
    <w:p>
      <w:pPr>
        <w:pStyle w:val="BodyText"/>
      </w:pPr>
      <w:r>
        <w:t xml:space="preserve">Физические и юридические лица, общественные организации, национально-культурные автономии имеют право на доступ к объектам нематериального этнокультурного достояния и беспрепятственное получение информации о них, а также на участие в выявлении, изучении, использовании, актуализации, сохранении и популяризации объектов нематериального этнокультурного достояния.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http://basman.mos.ru/public-safety/information-tape/detail/11278064.html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1278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1278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2024-03-18T01:52:04Z</dcterms:created>
  <dcterms:modified xsi:type="dcterms:W3CDTF">2024-03-18T01:52:04Z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