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f13486758a9439686e9ee22b07f6050e096ad"/>
    <w:p>
      <w:pPr>
        <w:pStyle w:val="Heading3"/>
      </w:pPr>
      <w:r>
        <w:t xml:space="preserve">С учетом позиции прокуратуры суд заочно избрал в отношении соучастника Аяза Шабутдинова меру пресечения в виде заключения под стражу</w:t>
      </w:r>
    </w:p>
    <w:p>
      <w:pPr>
        <w:pStyle w:val="FirstParagraph"/>
      </w:pPr>
      <w:r>
        <w:t xml:space="preserve">20.08.2024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t xml:space="preserve">С учетом позиции прокуратуры Центрального административного округа г. Москвы Таганский районный суд г. Москвы заочно избрал в отношении соучастника Аяза Шабутдинова меру пресечения в виде заключения под стражу.</w:t>
      </w:r>
    </w:p>
    <w:p>
      <w:pPr>
        <w:pStyle w:val="BodyText"/>
      </w:pPr>
      <w:r>
        <w:t xml:space="preserve">В отношении фигуранта вынесено постановление о привлечении его в качестве обвиняемого в совершении 92-х эпизодов мошенничества (ч. 4 ст. 159 УК РФ).</w:t>
      </w:r>
    </w:p>
    <w:p>
      <w:pPr>
        <w:pStyle w:val="BodyText"/>
      </w:pPr>
      <w:r>
        <w:t xml:space="preserve">Обвиняемый от органов предварительного расследования скрылся и объявлен в международный розыск.</w:t>
      </w:r>
    </w:p>
    <w:p>
      <w:pPr>
        <w:pStyle w:val="BodyText"/>
      </w:pPr>
      <w:r>
        <w:t xml:space="preserve">Ранее, по решению суда с учетом позиции прокуратуры фигурант был временно отстранен от должностей исполнительного директора АНО и акционерного общества, через которых реализовались обучающие курсы, на период предварительного следствия по уголовному делу.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http://basman.mos.ru/public-safety/information-tape/detail/12527265.html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272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5272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2025-03-01T20:34:54Z</dcterms:created>
  <dcterms:modified xsi:type="dcterms:W3CDTF">2025-03-01T20:34:54Z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