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93dc7abf3295d53e7d8cbfd09e21f9235f1529"/>
    <w:p>
      <w:pPr>
        <w:pStyle w:val="Heading3"/>
      </w:pPr>
      <w:r>
        <w:t xml:space="preserve">С учетом позиции прокуратуры суд заключил под стражу третьего обвиняемого по делу о мошенничестве, совершенном в отношении жительницы столицы</w:t>
      </w:r>
    </w:p>
    <w:p>
      <w:pPr>
        <w:pStyle w:val="FirstParagraph"/>
      </w:pPr>
      <w:r>
        <w:t xml:space="preserve">02.12.2024</w:t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 учетом позиции прокуратуры Центрального административного округа г. Москвы Таганский районный суд г. Москвы заключил под стражу до 21 января 2025 года третьего обвиняемого по делу о мошенничестве. Вину он не признал.</w:t>
      </w:r>
    </w:p>
    <w:p>
      <w:pPr>
        <w:pStyle w:val="BodyText"/>
      </w:pPr>
      <w:r>
        <w:t xml:space="preserve">Мужчине предъявлено обвинение по ч. 4 ст. 159 УК РФ (мошенничество, совершенное организованной группой, в особо крупном размере).</w:t>
      </w:r>
    </w:p>
    <w:p>
      <w:pPr>
        <w:pStyle w:val="BodyText"/>
      </w:pPr>
      <w:r>
        <w:t xml:space="preserve">Так, у фигуранта обнаружена банковская карта, на которую введенная в заблуждение потерпевшая по указанию аферистов 21 июня 2024 года перевела более 10 млн рублей, которые соучастники перевели на подконтрольные счета и распределили между собой, тем самым похитили их.</w:t>
      </w:r>
    </w:p>
    <w:p>
      <w:pPr>
        <w:pStyle w:val="BodyText"/>
      </w:pPr>
      <w:r>
        <w:t xml:space="preserve">Кроме того, именно он привлек в преступную схему ранее заключенного под стражу соучастника, на банковскую карту которого потерпевшая перевела часть похищенных мошенническим путем денежных средств в сумме 3 млн рублей, а также давал указания и координировал его преступные действия.</w:t>
      </w:r>
    </w:p>
    <w:p>
      <w:pPr>
        <w:pStyle w:val="BodyText"/>
      </w:pPr>
      <w:r>
        <w:t xml:space="preserve">Ранее в отношении другой обвиняемой, забравшей по указанию соучастников у потерпевшей более 100 млн рублей, избрана мера пресечения в виде заключения под стражу.</w:t>
      </w:r>
    </w:p>
    <w:p>
      <w:pPr>
        <w:pStyle w:val="BodyText"/>
      </w:pPr>
      <w:r>
        <w:t xml:space="preserve">С апреля по июль 2024 года телефонные аферисты, представляясь сотрудниками правоохранительных органов, ввели пострадавшую в заблуждение и под предлогом сохранения денежных средств, уговорили перевести на якобы безопасные счета и передать курьеру личные сбережения и денежные средства от продажи квартиры в Ксеньинском пер., отчужденной по указанию мошенников.</w:t>
      </w:r>
    </w:p>
    <w:p>
      <w:pPr>
        <w:pStyle w:val="BodyText"/>
      </w:pPr>
      <w:r>
        <w:t xml:space="preserve">Расследование уголовного дело на контроле в прокуратуре.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http://basman.mos.ru/public-safety/information-tape/detail/12698655.html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6986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6986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2025-07-09T01:21:31Z</dcterms:created>
  <dcterms:modified xsi:type="dcterms:W3CDTF">2025-07-09T01:21:31Z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