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903d1c474d45ee2b7de896aa8c8a92b812886"/>
    <w:p>
      <w:pPr>
        <w:pStyle w:val="Heading3"/>
      </w:pPr>
      <w:r>
        <w:t xml:space="preserve">Прокурор Центрального административного округа разъясняет: Уголовная ответственность за пропаганду экстремистских символик</w:t>
      </w:r>
    </w:p>
    <w:p>
      <w:pPr>
        <w:pStyle w:val="FirstParagraph"/>
      </w:pPr>
      <w:r>
        <w:t xml:space="preserve">28.05.2025</w:t>
      </w:r>
    </w:p>
    <w:p>
      <w:pPr>
        <w:pStyle w:val="BodyText"/>
      </w:pPr>
      <w:r>
        <w:t xml:space="preserve">Фото: Анна Быкова, «Вечерняя Москва»</w:t>
      </w:r>
    </w:p>
    <w:p>
      <w:pPr>
        <w:pStyle w:val="BodyText"/>
      </w:pPr>
      <w:r>
        <w:br/>
      </w:r>
    </w:p>
    <w:p>
      <w:pPr>
        <w:pStyle w:val="BodyText"/>
      </w:pPr>
      <w:r>
        <w:t xml:space="preserve">Федеральный закон от 25.07.2002 № 114-ФЗ «О противодействии экстремистской деятельности» в качестве одного из видов экстремистской деятельности определяет пропаганду и публичное демонстрирование атрибутики или символики экстремистских организаций.</w:t>
      </w:r>
    </w:p>
    <w:p>
      <w:pPr>
        <w:pStyle w:val="BodyText"/>
      </w:pPr>
      <w:r>
        <w:t xml:space="preserve">На основании статьи 15 указанного закона за осуществление экстремистской деятельности лица несут в том числе уголовную ответственность.</w:t>
      </w:r>
    </w:p>
    <w:p>
      <w:pPr>
        <w:pStyle w:val="BodyText"/>
      </w:pPr>
      <w:r>
        <w:t xml:space="preserve">Федеральным законом от 14.07.2022 № 260-ФЗ в Уголовный кодекс Российской Федерации введена новая статья, предусматривающая ответственность за пропаганду экстремистской символики.</w:t>
      </w:r>
    </w:p>
    <w:p>
      <w:pPr>
        <w:pStyle w:val="BodyText"/>
      </w:pPr>
      <w:r>
        <w:t xml:space="preserve">Так, частью 1 статьи 282.4. Уголовного кодекса Российской Федерации предусмотрена ответственность за пропаганду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если эти деяния совершены лицом, подвергнутым административному наказанию за любое из административных правонарушений, предусмотренных статьей 20.3 КоАП РФ.</w:t>
      </w:r>
    </w:p>
    <w:p>
      <w:pPr>
        <w:pStyle w:val="BodyText"/>
      </w:pPr>
      <w:r>
        <w:t xml:space="preserve">За совершение указанного преступления максимальное наказание предусмотрено наказание в виде лишения свободы на срок до 4 лет.</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http://basman.mos.ru/public-safety/information-tape/detail/12996100.html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ublic-safety/information-tape/detail/129961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ublic-safety/information-tape/detail/129961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2025-05-28T18:17:44Z</dcterms:created>
  <dcterms:modified xsi:type="dcterms:W3CDTF">2025-05-28T18:17:44Z</dcterms:modified>
</cp:coreProperties>
</file>

<file path=docProps/custom.xml><?xml version="1.0" encoding="utf-8"?>
<Properties xmlns="http://schemas.openxmlformats.org/officeDocument/2006/custom-properties" xmlns:vt="http://schemas.openxmlformats.org/officeDocument/2006/docPropsVTypes"/>
</file>